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C" w:rsidRPr="008B1307" w:rsidRDefault="001767CC" w:rsidP="00363DEA">
      <w:r>
        <w:rPr>
          <w:noProof/>
        </w:rPr>
        <w:pict>
          <v:rect id="Rectangle 2" o:spid="_x0000_s1026" style="position:absolute;margin-left:397.5pt;margin-top:-24pt;width:160.5pt;height:68.25pt;z-index:251658240;visibility:visible">
            <v:textbox>
              <w:txbxContent>
                <w:p w:rsidR="001767CC" w:rsidRDefault="001767CC" w:rsidP="000B560E">
                  <w:pPr>
                    <w:jc w:val="center"/>
                  </w:pPr>
                  <w:r>
                    <w:t>To find a z-score, use the formula:</w:t>
                  </w:r>
                </w:p>
                <w:p w:rsidR="001767CC" w:rsidRPr="0043694E" w:rsidRDefault="001767CC" w:rsidP="000B560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B560E">
                    <w:rPr>
                      <w:b/>
                      <w:bCs/>
                    </w:rPr>
                    <w:t xml:space="preserve">z = </w:t>
                  </w:r>
                  <w:r w:rsidRPr="00AC0E15">
                    <w:rPr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AC0E15">
                    <w:rPr>
                      <w:b/>
                      <w:bCs/>
                      <w:sz w:val="36"/>
                      <w:szCs w:val="36"/>
                    </w:rPr>
                    <w:instrText xml:space="preserve"> QUOTE </w:instrText>
                  </w:r>
                  <w:r w:rsidRPr="00AC0E1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7.5pt;height:27pt">
                        <v:imagedata r:id="rId5" o:title="" chromakey="white"/>
                      </v:shape>
                    </w:pict>
                  </w:r>
                  <w:r w:rsidRPr="00AC0E15">
                    <w:rPr>
                      <w:b/>
                      <w:bCs/>
                      <w:sz w:val="36"/>
                      <w:szCs w:val="36"/>
                    </w:rPr>
                    <w:instrText xml:space="preserve"> </w:instrText>
                  </w:r>
                  <w:r w:rsidRPr="00AC0E15">
                    <w:rPr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AC0E15">
                    <w:pict>
                      <v:shape id="_x0000_i1028" type="#_x0000_t75" style="width:37.5pt;height:27pt">
                        <v:imagedata r:id="rId5" o:title="" chromakey="white"/>
                      </v:shape>
                    </w:pict>
                  </w:r>
                  <w:r w:rsidRPr="00AC0E15">
                    <w:rPr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  <w:p w:rsidR="001767CC" w:rsidRPr="000B560E" w:rsidRDefault="001767CC" w:rsidP="000B560E">
                  <w:pPr>
                    <w:jc w:val="center"/>
                  </w:pPr>
                </w:p>
              </w:txbxContent>
            </v:textbox>
          </v:rect>
        </w:pict>
      </w:r>
      <w:r w:rsidRPr="008B1307">
        <w:t>Name:________________________________</w:t>
      </w:r>
    </w:p>
    <w:p w:rsidR="001767CC" w:rsidRDefault="001767CC" w:rsidP="00363DEA">
      <w:pPr>
        <w:rPr>
          <w:b/>
          <w:bCs/>
        </w:rPr>
      </w:pPr>
    </w:p>
    <w:p w:rsidR="001767CC" w:rsidRPr="008B1307" w:rsidRDefault="001767CC" w:rsidP="008B1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Working with </w:t>
      </w:r>
      <w:r w:rsidRPr="008B1307">
        <w:rPr>
          <w:b/>
          <w:bCs/>
          <w:sz w:val="28"/>
          <w:szCs w:val="28"/>
        </w:rPr>
        <w:t>Z Scores</w:t>
      </w:r>
      <w:r>
        <w:rPr>
          <w:b/>
          <w:bCs/>
          <w:sz w:val="28"/>
          <w:szCs w:val="28"/>
        </w:rPr>
        <w:t xml:space="preserve"> </w:t>
      </w:r>
    </w:p>
    <w:p w:rsidR="001767CC" w:rsidRDefault="001767CC" w:rsidP="00363DEA">
      <w:pPr>
        <w:rPr>
          <w:b/>
          <w:bCs/>
        </w:rPr>
      </w:pPr>
    </w:p>
    <w:p w:rsidR="001767CC" w:rsidRPr="00363DEA" w:rsidRDefault="001767CC" w:rsidP="008B1307">
      <w:r>
        <w:t xml:space="preserve">1.  The mean score on the </w:t>
      </w:r>
      <w:r w:rsidRPr="00363DEA">
        <w:t xml:space="preserve">SAT </w:t>
      </w:r>
      <w:r>
        <w:t>(math &amp; verbal) is</w:t>
      </w:r>
      <w:r w:rsidRPr="00363DEA">
        <w:t xml:space="preserve"> 1500</w:t>
      </w:r>
      <w:r>
        <w:t xml:space="preserve">, with a standard deviation of 240.  The </w:t>
      </w:r>
      <w:r w:rsidRPr="00363DEA">
        <w:t>ACT</w:t>
      </w:r>
      <w:r>
        <w:t xml:space="preserve">, a different college entrance examination, has a </w:t>
      </w:r>
      <w:r w:rsidRPr="00363DEA">
        <w:t xml:space="preserve">mean </w:t>
      </w:r>
      <w:r>
        <w:t xml:space="preserve">score of </w:t>
      </w:r>
      <w:r w:rsidRPr="00363DEA">
        <w:t>21</w:t>
      </w:r>
      <w:r>
        <w:t xml:space="preserve"> with a standard deviation of</w:t>
      </w:r>
      <w:r w:rsidRPr="00363DEA">
        <w:t xml:space="preserve"> 6</w:t>
      </w:r>
      <w:r>
        <w:t>.</w:t>
      </w:r>
    </w:p>
    <w:p w:rsidR="001767CC" w:rsidRDefault="001767CC" w:rsidP="00363DEA">
      <w:r>
        <w:tab/>
        <w:t xml:space="preserve">(a) </w:t>
      </w:r>
      <w:r w:rsidRPr="00363DEA">
        <w:t xml:space="preserve">If Bobby scored 1740 on the SAT, </w:t>
      </w:r>
      <w:r>
        <w:t>calculate his z-score.</w:t>
      </w:r>
    </w:p>
    <w:p w:rsidR="001767CC" w:rsidRDefault="001767CC" w:rsidP="00363DEA">
      <w:r>
        <w:tab/>
      </w:r>
    </w:p>
    <w:p w:rsidR="001767CC" w:rsidRDefault="001767CC" w:rsidP="00363DEA">
      <w:bookmarkStart w:id="0" w:name="_GoBack"/>
      <w:bookmarkEnd w:id="0"/>
    </w:p>
    <w:p w:rsidR="001767CC" w:rsidRDefault="001767CC" w:rsidP="00363DEA"/>
    <w:p w:rsidR="001767CC" w:rsidRPr="00363DEA" w:rsidRDefault="001767CC" w:rsidP="00363DEA">
      <w:r>
        <w:tab/>
        <w:t>(</w:t>
      </w:r>
      <w:r w:rsidRPr="00363DEA">
        <w:t xml:space="preserve">b) If Kathy scored 30 on the ACT, </w:t>
      </w:r>
      <w:r>
        <w:t>calculate her z-score.</w:t>
      </w:r>
    </w:p>
    <w:p w:rsidR="001767CC" w:rsidRDefault="001767CC" w:rsidP="00363DEA">
      <w:r>
        <w:tab/>
      </w:r>
    </w:p>
    <w:p w:rsidR="001767CC" w:rsidRDefault="001767CC" w:rsidP="00363DEA"/>
    <w:p w:rsidR="001767CC" w:rsidRPr="00363DEA" w:rsidRDefault="001767CC" w:rsidP="00363DEA"/>
    <w:p w:rsidR="001767CC" w:rsidRPr="00363DEA" w:rsidRDefault="001767CC" w:rsidP="00363DEA">
      <w:r>
        <w:tab/>
      </w:r>
      <w:r w:rsidRPr="00363DEA">
        <w:t>(g) Who performed better on his or her admissions test compared to his or her peers?</w:t>
      </w:r>
      <w:r>
        <w:t xml:space="preserve"> Explain. </w:t>
      </w:r>
    </w:p>
    <w:p w:rsidR="001767CC" w:rsidRDefault="001767CC" w:rsidP="00363DEA"/>
    <w:p w:rsidR="001767CC" w:rsidRDefault="001767CC" w:rsidP="00332E73"/>
    <w:p w:rsidR="001767CC" w:rsidRPr="00363DEA" w:rsidRDefault="001767CC" w:rsidP="00363DEA"/>
    <w:p w:rsidR="001767CC" w:rsidRPr="00363DEA" w:rsidRDefault="001767CC" w:rsidP="00363DEA">
      <w:r>
        <w:t xml:space="preserve">2.  The weight of an average </w:t>
      </w:r>
      <w:r w:rsidRPr="00363DEA">
        <w:t xml:space="preserve">3 month </w:t>
      </w:r>
      <w:r>
        <w:t xml:space="preserve">child is </w:t>
      </w:r>
      <w:r w:rsidRPr="00363DEA">
        <w:t>12.5 pounds</w:t>
      </w:r>
      <w:r>
        <w:t xml:space="preserve"> with a standard deviation of </w:t>
      </w:r>
      <w:r w:rsidRPr="00363DEA">
        <w:t>1.5 pounds</w:t>
      </w:r>
      <w:r>
        <w:t xml:space="preserve">.  </w:t>
      </w:r>
    </w:p>
    <w:p w:rsidR="001767CC" w:rsidRDefault="001767CC" w:rsidP="00363DEA">
      <w:r>
        <w:t xml:space="preserve">Benjamin is a healthy 3 month old child who weighs </w:t>
      </w:r>
      <w:r w:rsidRPr="00363DEA">
        <w:t>13.9 pounds</w:t>
      </w:r>
      <w:r>
        <w:t xml:space="preserve">.  </w:t>
      </w:r>
    </w:p>
    <w:p w:rsidR="001767CC" w:rsidRDefault="001767CC" w:rsidP="00661A11">
      <w:pPr>
        <w:pStyle w:val="ListParagraph"/>
        <w:numPr>
          <w:ilvl w:val="0"/>
          <w:numId w:val="4"/>
        </w:numPr>
      </w:pPr>
      <w:r w:rsidRPr="00363DEA">
        <w:t>Determine the z</w:t>
      </w:r>
      <w:r>
        <w:t>-</w:t>
      </w:r>
      <w:r w:rsidRPr="00363DEA">
        <w:t>score</w:t>
      </w:r>
      <w:r>
        <w:t xml:space="preserve"> </w:t>
      </w:r>
      <w:r w:rsidRPr="00363DEA">
        <w:t>for Benjamin's weight at 3 months.</w:t>
      </w:r>
    </w:p>
    <w:p w:rsidR="001767CC" w:rsidRDefault="001767CC" w:rsidP="00661A11"/>
    <w:p w:rsidR="001767CC" w:rsidRDefault="001767CC" w:rsidP="00661A11"/>
    <w:p w:rsidR="001767CC" w:rsidRDefault="001767CC" w:rsidP="00363DEA"/>
    <w:p w:rsidR="001767CC" w:rsidRDefault="001767CC" w:rsidP="00661A11">
      <w:pPr>
        <w:pStyle w:val="ListParagraph"/>
        <w:numPr>
          <w:ilvl w:val="0"/>
          <w:numId w:val="4"/>
        </w:numPr>
      </w:pPr>
      <w:r w:rsidRPr="00363DEA">
        <w:t>Interpret what the z</w:t>
      </w:r>
      <w:r>
        <w:t>-</w:t>
      </w:r>
      <w:r w:rsidRPr="00363DEA">
        <w:t>score</w:t>
      </w:r>
      <w:r>
        <w:t xml:space="preserve"> </w:t>
      </w:r>
      <w:r w:rsidRPr="00363DEA">
        <w:t>means ﴾in context﴿ in a sentence.</w:t>
      </w:r>
    </w:p>
    <w:p w:rsidR="001767CC" w:rsidRDefault="001767CC" w:rsidP="00661A11"/>
    <w:p w:rsidR="001767CC" w:rsidRDefault="001767CC" w:rsidP="00661A11"/>
    <w:p w:rsidR="001767CC" w:rsidRDefault="001767CC" w:rsidP="00363DEA"/>
    <w:p w:rsidR="001767CC" w:rsidRPr="00363DEA" w:rsidRDefault="001767CC" w:rsidP="00363DEA">
      <w:r>
        <w:tab/>
        <w:t xml:space="preserve">(c) The weight of an average </w:t>
      </w:r>
      <w:r w:rsidRPr="00363DEA">
        <w:t xml:space="preserve">6 month old </w:t>
      </w:r>
      <w:r>
        <w:t xml:space="preserve">is </w:t>
      </w:r>
      <w:r w:rsidRPr="00363DEA">
        <w:t>17.25 pounds</w:t>
      </w:r>
      <w:r>
        <w:t xml:space="preserve"> with a </w:t>
      </w:r>
      <w:r w:rsidRPr="00363DEA">
        <w:t xml:space="preserve">standard deviation </w:t>
      </w:r>
      <w:r>
        <w:t xml:space="preserve">of </w:t>
      </w:r>
      <w:r w:rsidRPr="00363DEA">
        <w:t>2.0 pounds</w:t>
      </w:r>
      <w:r>
        <w:t xml:space="preserve">.  </w:t>
      </w:r>
    </w:p>
    <w:p w:rsidR="001767CC" w:rsidRPr="00363DEA" w:rsidRDefault="001767CC" w:rsidP="00363DEA">
      <w:r>
        <w:tab/>
      </w:r>
      <w:r w:rsidRPr="00363DEA">
        <w:t>If Benjamin had the same z</w:t>
      </w:r>
      <w:r>
        <w:t>-</w:t>
      </w:r>
      <w:r w:rsidRPr="00363DEA">
        <w:t>score</w:t>
      </w:r>
      <w:r>
        <w:t xml:space="preserve"> </w:t>
      </w:r>
      <w:r w:rsidRPr="00363DEA">
        <w:t>at 6 months as he did at 3 months,</w:t>
      </w:r>
      <w:r>
        <w:t xml:space="preserve"> </w:t>
      </w:r>
      <w:r w:rsidRPr="00363DEA">
        <w:t xml:space="preserve">determine how much a 6 month old </w:t>
      </w:r>
      <w:r>
        <w:tab/>
      </w:r>
      <w:r w:rsidRPr="00363DEA">
        <w:t>Benjamin would weigh.</w:t>
      </w:r>
    </w:p>
    <w:p w:rsidR="001767CC" w:rsidRDefault="001767CC"/>
    <w:p w:rsidR="001767CC" w:rsidRDefault="001767CC" w:rsidP="000B560E"/>
    <w:p w:rsidR="001767CC" w:rsidRDefault="001767CC" w:rsidP="000B560E"/>
    <w:p w:rsidR="001767CC" w:rsidRDefault="001767CC" w:rsidP="000B560E"/>
    <w:p w:rsidR="001767CC" w:rsidRDefault="001767CC" w:rsidP="000B560E"/>
    <w:p w:rsidR="001767CC" w:rsidRPr="000B560E" w:rsidRDefault="001767CC" w:rsidP="000B560E"/>
    <w:p w:rsidR="001767CC" w:rsidRPr="009628E9" w:rsidRDefault="001767CC" w:rsidP="009628E9">
      <w:pPr>
        <w:autoSpaceDE w:val="0"/>
        <w:autoSpaceDN w:val="0"/>
        <w:adjustRightInd w:val="0"/>
      </w:pPr>
      <w:r w:rsidRPr="009628E9">
        <w:t xml:space="preserve">3. </w:t>
      </w:r>
      <w:r>
        <w:t xml:space="preserve"> </w:t>
      </w:r>
      <w:r w:rsidRPr="009628E9">
        <w:t>The height of women aged 20 to 29 are approximately normal with mean 64 inches and standard deviation</w:t>
      </w:r>
    </w:p>
    <w:p w:rsidR="001767CC" w:rsidRDefault="001767CC" w:rsidP="009628E9">
      <w:pPr>
        <w:autoSpaceDE w:val="0"/>
        <w:autoSpaceDN w:val="0"/>
        <w:adjustRightInd w:val="0"/>
      </w:pPr>
      <w:r w:rsidRPr="009628E9">
        <w:t xml:space="preserve">2.7 inches. Men the same age have mean height 69.3 inches with standard deviation 2.8 inches. </w:t>
      </w:r>
      <w:r>
        <w:t xml:space="preserve"> John and his sister June both play basketball for N. C. State University.  John is 81 inches tall; June is 74 inches tall.  </w:t>
      </w: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9628E9">
      <w:pPr>
        <w:autoSpaceDE w:val="0"/>
        <w:autoSpaceDN w:val="0"/>
        <w:adjustRightInd w:val="0"/>
      </w:pPr>
      <w:r>
        <w:tab/>
        <w:t>(a) Compared to their respective peers, who is the tallest?</w:t>
      </w: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9628E9">
      <w:pPr>
        <w:autoSpaceDE w:val="0"/>
        <w:autoSpaceDN w:val="0"/>
        <w:adjustRightInd w:val="0"/>
      </w:pPr>
      <w:r>
        <w:tab/>
        <w:t>(b) How tall would a woman be who has a z-score of 1.5?</w:t>
      </w: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9628E9">
      <w:pPr>
        <w:autoSpaceDE w:val="0"/>
        <w:autoSpaceDN w:val="0"/>
        <w:adjustRightInd w:val="0"/>
      </w:pPr>
    </w:p>
    <w:p w:rsidR="001767CC" w:rsidRPr="009628E9" w:rsidRDefault="001767CC" w:rsidP="009628E9">
      <w:pPr>
        <w:autoSpaceDE w:val="0"/>
        <w:autoSpaceDN w:val="0"/>
        <w:adjustRightInd w:val="0"/>
      </w:pPr>
      <w:r>
        <w:tab/>
        <w:t>(c) If a man has a z-score of -0.5 and a woman has a z-score of 1.2, which is tallest?</w:t>
      </w:r>
    </w:p>
    <w:p w:rsidR="001767CC" w:rsidRDefault="001767CC" w:rsidP="009628E9">
      <w:pPr>
        <w:autoSpaceDE w:val="0"/>
        <w:autoSpaceDN w:val="0"/>
        <w:adjustRightInd w:val="0"/>
      </w:pPr>
    </w:p>
    <w:p w:rsidR="001767CC" w:rsidRDefault="001767CC" w:rsidP="00BC7437"/>
    <w:p w:rsidR="001767CC" w:rsidRDefault="001767CC" w:rsidP="00BC7437">
      <w:r>
        <w:t>Answers: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 xml:space="preserve">1.  </w:t>
      </w:r>
      <w:r w:rsidRPr="00BC7437">
        <w:rPr>
          <w:color w:val="FF0000"/>
        </w:rPr>
        <w:tab/>
        <w:t>(a) 240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(b) 9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 xml:space="preserve">(c) no, because the tests are scaled differently.  A student could make a perfect score on the ACT and the </w:t>
      </w:r>
      <w:r w:rsidRPr="00BC7437">
        <w:rPr>
          <w:color w:val="FF0000"/>
        </w:rPr>
        <w:tab/>
        <w:t>numerical value would be substantially less than a low scoring SAT score.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(d) 240/240 = 1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(e) 9/6 = 1.5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 xml:space="preserve">(f) Kathy did 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(g) Kathy did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(h) Peter: (1380 – 1500)/240 = -0.5  Kelly: (15 – 21)/6 = -1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(i) Peter has a higher score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 xml:space="preserve">(j) a negative z-score means that you are below the mean.  Golf scores, track times, or swimming times </w:t>
      </w:r>
      <w:r w:rsidRPr="00BC7437">
        <w:rPr>
          <w:color w:val="FF0000"/>
        </w:rPr>
        <w:tab/>
        <w:t>would be examples of beneficial negative z-scores.</w:t>
      </w:r>
    </w:p>
    <w:p w:rsidR="001767CC" w:rsidRDefault="001767CC" w:rsidP="00BC7437"/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 xml:space="preserve">2.  </w:t>
      </w:r>
      <w:r w:rsidRPr="00BC7437">
        <w:rPr>
          <w:color w:val="FF0000"/>
        </w:rPr>
        <w:tab/>
        <w:t>(a) (13.9 – 12.5)/1.5 = 0.933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 xml:space="preserve">(b) Benjamin’s weight is higher than the mean weight for children of his age, but he is within 1 standard </w:t>
      </w:r>
      <w:r w:rsidRPr="00BC7437">
        <w:rPr>
          <w:color w:val="FF0000"/>
        </w:rPr>
        <w:tab/>
        <w:t>deviation of the mean.</w:t>
      </w:r>
    </w:p>
    <w:p w:rsidR="001767CC" w:rsidRPr="00BC7437" w:rsidRDefault="001767CC" w:rsidP="00BC7437">
      <w:pPr>
        <w:rPr>
          <w:color w:val="FF0000"/>
        </w:rPr>
      </w:pPr>
      <w:r w:rsidRPr="00BC7437">
        <w:rPr>
          <w:color w:val="FF0000"/>
        </w:rPr>
        <w:tab/>
        <w:t>(c) 0.933 = (x – 17.25)/2.0 = 19.116 lbs</w:t>
      </w:r>
    </w:p>
    <w:p w:rsidR="001767CC" w:rsidRDefault="001767CC" w:rsidP="00BC7437"/>
    <w:p w:rsidR="001767CC" w:rsidRPr="00BC7437" w:rsidRDefault="001767CC" w:rsidP="00BC7437">
      <w:pPr>
        <w:autoSpaceDE w:val="0"/>
        <w:autoSpaceDN w:val="0"/>
        <w:adjustRightInd w:val="0"/>
        <w:rPr>
          <w:color w:val="FF0000"/>
        </w:rPr>
      </w:pPr>
      <w:r w:rsidRPr="00BC7437">
        <w:rPr>
          <w:color w:val="FF0000"/>
        </w:rPr>
        <w:t xml:space="preserve">3.  </w:t>
      </w:r>
      <w:r w:rsidRPr="00BC7437">
        <w:rPr>
          <w:color w:val="FF0000"/>
        </w:rPr>
        <w:tab/>
        <w:t>(a) John: (81 – 69.3)/2.8 = 4.18; June: (74 – 64)/2.7 = 3.703;  John is taller</w:t>
      </w:r>
    </w:p>
    <w:p w:rsidR="001767CC" w:rsidRPr="00BC7437" w:rsidRDefault="001767CC" w:rsidP="00BC7437">
      <w:pPr>
        <w:autoSpaceDE w:val="0"/>
        <w:autoSpaceDN w:val="0"/>
        <w:adjustRightInd w:val="0"/>
        <w:rPr>
          <w:color w:val="FF0000"/>
        </w:rPr>
      </w:pPr>
      <w:r w:rsidRPr="00BC7437">
        <w:rPr>
          <w:color w:val="FF0000"/>
        </w:rPr>
        <w:tab/>
        <w:t>(b) 1.5 = (x – 64)/2.7 = approx 68 inches</w:t>
      </w:r>
    </w:p>
    <w:p w:rsidR="001767CC" w:rsidRDefault="001767CC" w:rsidP="00BC7437">
      <w:pPr>
        <w:autoSpaceDE w:val="0"/>
        <w:autoSpaceDN w:val="0"/>
        <w:adjustRightInd w:val="0"/>
        <w:rPr>
          <w:color w:val="FF0000"/>
        </w:rPr>
      </w:pPr>
      <w:r w:rsidRPr="00BC7437">
        <w:rPr>
          <w:color w:val="FF0000"/>
        </w:rPr>
        <w:tab/>
        <w:t>(c) Man:</w:t>
      </w:r>
      <w:r>
        <w:rPr>
          <w:color w:val="FF0000"/>
        </w:rPr>
        <w:t xml:space="preserve"> -0.5 = (x – 69.3)/2.8 = 67.9 inches; woman: 1.2 = (x – 64)/2.7 = 67.24 inches; man is taller</w:t>
      </w:r>
    </w:p>
    <w:p w:rsidR="001767CC" w:rsidRDefault="001767CC" w:rsidP="00BC7437">
      <w:pPr>
        <w:autoSpaceDE w:val="0"/>
        <w:autoSpaceDN w:val="0"/>
        <w:adjustRightInd w:val="0"/>
        <w:rPr>
          <w:color w:val="FF0000"/>
        </w:rPr>
      </w:pPr>
    </w:p>
    <w:p w:rsidR="001767CC" w:rsidRPr="00BC7437" w:rsidRDefault="001767CC" w:rsidP="00BC7437">
      <w:pPr>
        <w:autoSpaceDE w:val="0"/>
        <w:autoSpaceDN w:val="0"/>
        <w:adjustRightInd w:val="0"/>
        <w:rPr>
          <w:color w:val="FF0000"/>
        </w:rPr>
      </w:pPr>
      <w:r w:rsidRPr="00BC7437">
        <w:rPr>
          <w:color w:val="FF0000"/>
        </w:rPr>
        <w:t xml:space="preserve">4.  </w:t>
      </w:r>
      <w:r>
        <w:rPr>
          <w:color w:val="FF0000"/>
        </w:rPr>
        <w:tab/>
      </w:r>
      <w:r w:rsidRPr="00BC7437">
        <w:rPr>
          <w:color w:val="FF0000"/>
        </w:rPr>
        <w:t xml:space="preserve">(a) </w:t>
      </w:r>
    </w:p>
    <w:p w:rsidR="001767CC" w:rsidRDefault="001767CC" w:rsidP="00BC7437">
      <w:pPr>
        <w:pStyle w:val="BodyTextIndent2"/>
        <w:ind w:left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520"/>
        <w:gridCol w:w="2086"/>
        <w:gridCol w:w="2020"/>
        <w:gridCol w:w="2042"/>
      </w:tblGrid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Test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Mean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Standard Deviation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Score</w:t>
            </w:r>
          </w:p>
        </w:tc>
        <w:tc>
          <w:tcPr>
            <w:tcW w:w="2042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Z-Score</w:t>
            </w:r>
          </w:p>
        </w:tc>
      </w:tr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Clerical Ability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50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15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41</w:t>
            </w:r>
          </w:p>
        </w:tc>
        <w:tc>
          <w:tcPr>
            <w:tcW w:w="2042" w:type="dxa"/>
          </w:tcPr>
          <w:p w:rsidR="001767CC" w:rsidRPr="00325A03" w:rsidRDefault="001767CC" w:rsidP="0059099A">
            <w:pPr>
              <w:pStyle w:val="BodyTextIndent2"/>
              <w:ind w:left="0"/>
              <w:jc w:val="center"/>
              <w:rPr>
                <w:color w:val="FF0000"/>
              </w:rPr>
            </w:pPr>
            <w:r w:rsidRPr="00325A03">
              <w:rPr>
                <w:color w:val="FF0000"/>
              </w:rPr>
              <w:t>0.6</w:t>
            </w:r>
          </w:p>
        </w:tc>
      </w:tr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Logical Reasoning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40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47</w:t>
            </w:r>
          </w:p>
        </w:tc>
        <w:tc>
          <w:tcPr>
            <w:tcW w:w="2042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rPr>
                <w:color w:val="FF0000"/>
              </w:rPr>
              <w:t>1.75</w:t>
            </w:r>
          </w:p>
        </w:tc>
      </w:tr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Mechanical Ability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120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25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100</w:t>
            </w:r>
          </w:p>
        </w:tc>
        <w:tc>
          <w:tcPr>
            <w:tcW w:w="2042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rPr>
                <w:color w:val="FF0000"/>
              </w:rPr>
              <w:t>-</w:t>
            </w:r>
            <w:r w:rsidRPr="00325A03">
              <w:rPr>
                <w:color w:val="FF0000"/>
              </w:rPr>
              <w:t>0.</w:t>
            </w:r>
            <w:r>
              <w:rPr>
                <w:color w:val="FF0000"/>
              </w:rPr>
              <w:t>8</w:t>
            </w:r>
          </w:p>
        </w:tc>
      </w:tr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Numerical Reasoning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100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10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105</w:t>
            </w:r>
          </w:p>
        </w:tc>
        <w:tc>
          <w:tcPr>
            <w:tcW w:w="2042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 w:rsidRPr="00325A03">
              <w:rPr>
                <w:color w:val="FF0000"/>
              </w:rPr>
              <w:t>0.</w:t>
            </w:r>
            <w:r>
              <w:rPr>
                <w:color w:val="FF0000"/>
              </w:rPr>
              <w:t>5</w:t>
            </w:r>
          </w:p>
        </w:tc>
      </w:tr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Spatial Relations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70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20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90</w:t>
            </w:r>
          </w:p>
        </w:tc>
        <w:tc>
          <w:tcPr>
            <w:tcW w:w="2042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rPr>
                <w:color w:val="FF0000"/>
              </w:rPr>
              <w:t>1</w:t>
            </w:r>
          </w:p>
        </w:tc>
      </w:tr>
      <w:tr w:rsidR="001767CC" w:rsidRPr="0043694E">
        <w:tc>
          <w:tcPr>
            <w:tcW w:w="2628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Verbal Fluency</w:t>
            </w:r>
          </w:p>
        </w:tc>
        <w:tc>
          <w:tcPr>
            <w:tcW w:w="15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60</w:t>
            </w:r>
          </w:p>
        </w:tc>
        <w:tc>
          <w:tcPr>
            <w:tcW w:w="2086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6</w:t>
            </w:r>
          </w:p>
        </w:tc>
        <w:tc>
          <w:tcPr>
            <w:tcW w:w="2020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t>70</w:t>
            </w:r>
          </w:p>
        </w:tc>
        <w:tc>
          <w:tcPr>
            <w:tcW w:w="2042" w:type="dxa"/>
          </w:tcPr>
          <w:p w:rsidR="001767CC" w:rsidRDefault="001767CC" w:rsidP="0059099A">
            <w:pPr>
              <w:pStyle w:val="BodyTextIndent2"/>
              <w:ind w:left="0"/>
              <w:jc w:val="center"/>
            </w:pPr>
            <w:r>
              <w:rPr>
                <w:color w:val="FF0000"/>
              </w:rPr>
              <w:t>1.</w:t>
            </w:r>
            <w:r w:rsidRPr="00325A03">
              <w:rPr>
                <w:color w:val="FF0000"/>
              </w:rPr>
              <w:t>6</w:t>
            </w:r>
            <w:r>
              <w:rPr>
                <w:color w:val="FF0000"/>
              </w:rPr>
              <w:t>67</w:t>
            </w:r>
          </w:p>
        </w:tc>
      </w:tr>
    </w:tbl>
    <w:p w:rsidR="001767CC" w:rsidRDefault="001767CC" w:rsidP="00BC7437">
      <w:pPr>
        <w:pStyle w:val="BodyTextIndent2"/>
      </w:pPr>
    </w:p>
    <w:p w:rsidR="001767CC" w:rsidRDefault="001767CC" w:rsidP="00BC7437">
      <w:pPr>
        <w:pStyle w:val="BodyTextIndent2"/>
      </w:pPr>
      <w:r w:rsidRPr="00BC7437">
        <w:rPr>
          <w:color w:val="FF0000"/>
        </w:rPr>
        <w:t>(b)</w:t>
      </w:r>
      <w:r>
        <w:t xml:space="preserve">  </w:t>
      </w:r>
      <w:r>
        <w:rPr>
          <w:color w:val="FF0000"/>
        </w:rPr>
        <w:t>Toni’s highest score was in logical reasoning.  Her lowest was in Mechanical ability – this is the only test on which she was below the mean.</w:t>
      </w:r>
    </w:p>
    <w:p w:rsidR="001767CC" w:rsidRDefault="001767CC" w:rsidP="00BC7437">
      <w:pPr>
        <w:pStyle w:val="BodyTextIndent2"/>
      </w:pPr>
    </w:p>
    <w:p w:rsidR="001767CC" w:rsidRDefault="001767CC" w:rsidP="00BC7437">
      <w:pPr>
        <w:pStyle w:val="BodyTextIndent2"/>
      </w:pPr>
    </w:p>
    <w:p w:rsidR="001767CC" w:rsidRDefault="001767CC" w:rsidP="00CD2F0E">
      <w:pPr>
        <w:pStyle w:val="BodyTextIndent2"/>
        <w:jc w:val="center"/>
      </w:pPr>
    </w:p>
    <w:sectPr w:rsidR="001767CC" w:rsidSect="008B130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905"/>
    <w:multiLevelType w:val="hybridMultilevel"/>
    <w:tmpl w:val="9FF60D88"/>
    <w:lvl w:ilvl="0" w:tplc="DC9AA252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36C95"/>
    <w:multiLevelType w:val="hybridMultilevel"/>
    <w:tmpl w:val="37F29654"/>
    <w:lvl w:ilvl="0" w:tplc="DE7490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E1263D"/>
    <w:multiLevelType w:val="hybridMultilevel"/>
    <w:tmpl w:val="9E0A8D74"/>
    <w:lvl w:ilvl="0" w:tplc="EC226E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E17D1"/>
    <w:multiLevelType w:val="hybridMultilevel"/>
    <w:tmpl w:val="6660D9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B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DEA"/>
    <w:rsid w:val="00091A3F"/>
    <w:rsid w:val="000B560E"/>
    <w:rsid w:val="001767CC"/>
    <w:rsid w:val="00237AE8"/>
    <w:rsid w:val="002E4EC4"/>
    <w:rsid w:val="00325A03"/>
    <w:rsid w:val="00332E73"/>
    <w:rsid w:val="00363DEA"/>
    <w:rsid w:val="00427660"/>
    <w:rsid w:val="0043694E"/>
    <w:rsid w:val="0059099A"/>
    <w:rsid w:val="005E6048"/>
    <w:rsid w:val="00661A11"/>
    <w:rsid w:val="006E3EDB"/>
    <w:rsid w:val="008A11AB"/>
    <w:rsid w:val="008A6497"/>
    <w:rsid w:val="008B1307"/>
    <w:rsid w:val="008F68E6"/>
    <w:rsid w:val="009300F0"/>
    <w:rsid w:val="009628E9"/>
    <w:rsid w:val="00A917E4"/>
    <w:rsid w:val="00AC0E15"/>
    <w:rsid w:val="00B04234"/>
    <w:rsid w:val="00B72420"/>
    <w:rsid w:val="00BC7437"/>
    <w:rsid w:val="00CD2F0E"/>
    <w:rsid w:val="00CF76CC"/>
    <w:rsid w:val="00D671CE"/>
    <w:rsid w:val="00E86016"/>
    <w:rsid w:val="00F22A48"/>
    <w:rsid w:val="00F42EF4"/>
    <w:rsid w:val="00FE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1307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CD2F0E"/>
    <w:pPr>
      <w:ind w:left="72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2F0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61A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435</Words>
  <Characters>2481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</dc:title>
  <dc:subject/>
  <dc:creator>Dan &amp; Carole Barber</dc:creator>
  <cp:keywords/>
  <dc:description/>
  <cp:lastModifiedBy>RCholkar</cp:lastModifiedBy>
  <cp:revision>2</cp:revision>
  <cp:lastPrinted>2016-10-02T22:35:00Z</cp:lastPrinted>
  <dcterms:created xsi:type="dcterms:W3CDTF">2016-10-02T22:35:00Z</dcterms:created>
  <dcterms:modified xsi:type="dcterms:W3CDTF">2016-10-02T22:35:00Z</dcterms:modified>
</cp:coreProperties>
</file>